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Policy for Departmental Computing Cluster</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(updated 2/7/2020)</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i w:val="1"/>
          <w:sz w:val="24"/>
          <w:szCs w:val="24"/>
        </w:rPr>
      </w:pPr>
      <w:r w:rsidDel="00000000" w:rsidR="00000000" w:rsidRPr="00000000">
        <w:rPr>
          <w:i w:val="1"/>
          <w:sz w:val="24"/>
          <w:szCs w:val="24"/>
          <w:rtl w:val="0"/>
        </w:rPr>
        <w:t xml:space="preserve">Facility Upgrade, Computing, Equipment, and Website Committee members:</w:t>
      </w:r>
    </w:p>
    <w:p w:rsidR="00000000" w:rsidDel="00000000" w:rsidP="00000000" w:rsidRDefault="00000000" w:rsidRPr="00000000" w14:paraId="00000005">
      <w:pPr>
        <w:rPr>
          <w:sz w:val="24"/>
          <w:szCs w:val="24"/>
        </w:rPr>
      </w:pPr>
      <w:r w:rsidDel="00000000" w:rsidR="00000000" w:rsidRPr="00000000">
        <w:rPr>
          <w:sz w:val="24"/>
          <w:szCs w:val="24"/>
          <w:rtl w:val="0"/>
        </w:rPr>
        <w:t xml:space="preserve">Melissa Gomez, Esra Kurum, Wenxiu Ma, Linda Penas</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Overview of departmental computing cluster</w:t>
      </w:r>
    </w:p>
    <w:p w:rsidR="00000000" w:rsidDel="00000000" w:rsidP="00000000" w:rsidRDefault="00000000" w:rsidRPr="00000000" w14:paraId="00000008">
      <w:pPr>
        <w:rPr>
          <w:sz w:val="24"/>
          <w:szCs w:val="24"/>
        </w:rPr>
      </w:pPr>
      <w:r w:rsidDel="00000000" w:rsidR="00000000" w:rsidRPr="00000000">
        <w:rPr>
          <w:sz w:val="24"/>
          <w:szCs w:val="24"/>
          <w:rtl w:val="0"/>
        </w:rPr>
        <w:t xml:space="preserve">The department purchased one set of 4 Intel high-memory computing nodes in Feb/2018 and set up a departmental cluster at the High-Performance Computing Center (HPCC, </w:t>
      </w:r>
      <w:hyperlink r:id="rId6">
        <w:r w:rsidDel="00000000" w:rsidR="00000000" w:rsidRPr="00000000">
          <w:rPr>
            <w:color w:val="1155cc"/>
            <w:sz w:val="24"/>
            <w:szCs w:val="24"/>
            <w:u w:val="single"/>
            <w:rtl w:val="0"/>
          </w:rPr>
          <w:t xml:space="preserve">http://hpcc.ucr.edu/</w:t>
        </w:r>
      </w:hyperlink>
      <w:r w:rsidDel="00000000" w:rsidR="00000000" w:rsidRPr="00000000">
        <w:rPr>
          <w:sz w:val="24"/>
          <w:szCs w:val="24"/>
          <w:rtl w:val="0"/>
        </w:rPr>
        <w:t xml:space="preserve">) at UCR. </w:t>
      </w:r>
    </w:p>
    <w:p w:rsidR="00000000" w:rsidDel="00000000" w:rsidP="00000000" w:rsidRDefault="00000000" w:rsidRPr="00000000" w14:paraId="00000009">
      <w:pPr>
        <w:rPr>
          <w:b w:val="1"/>
          <w:sz w:val="24"/>
          <w:szCs w:val="24"/>
        </w:rPr>
      </w:pPr>
      <w:r w:rsidDel="00000000" w:rsidR="00000000" w:rsidRPr="00000000">
        <w:rPr>
          <w:sz w:val="24"/>
          <w:szCs w:val="24"/>
          <w:rtl w:val="0"/>
        </w:rPr>
        <w:t xml:space="preserve">The current configuration of the departmental cluster include:</w:t>
      </w:r>
      <w:r w:rsidDel="00000000" w:rsidR="00000000" w:rsidRPr="00000000">
        <w:rPr>
          <w:b w:val="1"/>
          <w:sz w:val="24"/>
          <w:szCs w:val="24"/>
          <w:rtl w:val="0"/>
        </w:rPr>
        <w:t xml:space="preserve"> </w:t>
      </w:r>
    </w:p>
    <w:p w:rsidR="00000000" w:rsidDel="00000000" w:rsidP="00000000" w:rsidRDefault="00000000" w:rsidRPr="00000000" w14:paraId="0000000A">
      <w:pPr>
        <w:numPr>
          <w:ilvl w:val="0"/>
          <w:numId w:val="2"/>
        </w:numPr>
        <w:ind w:left="720" w:hanging="360"/>
        <w:rPr>
          <w:sz w:val="24"/>
          <w:szCs w:val="24"/>
        </w:rPr>
      </w:pPr>
      <w:r w:rsidDel="00000000" w:rsidR="00000000" w:rsidRPr="00000000">
        <w:rPr>
          <w:sz w:val="24"/>
          <w:szCs w:val="24"/>
          <w:rtl w:val="0"/>
        </w:rPr>
        <w:t xml:space="preserve">128 Intel computing cores (equivalent to 256 logical cores if hyper-threading is used) </w:t>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sz w:val="24"/>
          <w:szCs w:val="24"/>
          <w:rtl w:val="0"/>
        </w:rPr>
        <w:t xml:space="preserve">1TB total memory to be used by the 128 cores.</w:t>
      </w:r>
    </w:p>
    <w:p w:rsidR="00000000" w:rsidDel="00000000" w:rsidP="00000000" w:rsidRDefault="00000000" w:rsidRPr="00000000" w14:paraId="0000000C">
      <w:pPr>
        <w:numPr>
          <w:ilvl w:val="0"/>
          <w:numId w:val="2"/>
        </w:numPr>
        <w:ind w:left="720" w:hanging="360"/>
        <w:rPr>
          <w:sz w:val="24"/>
          <w:szCs w:val="24"/>
        </w:rPr>
      </w:pPr>
      <w:r w:rsidDel="00000000" w:rsidR="00000000" w:rsidRPr="00000000">
        <w:rPr>
          <w:sz w:val="24"/>
          <w:szCs w:val="24"/>
          <w:rtl w:val="0"/>
        </w:rPr>
        <w:t xml:space="preserve">10TB big data disk rental from HPCC</w:t>
      </w:r>
    </w:p>
    <w:p w:rsidR="00000000" w:rsidDel="00000000" w:rsidP="00000000" w:rsidRDefault="00000000" w:rsidRPr="00000000" w14:paraId="0000000D">
      <w:pPr>
        <w:rPr>
          <w:sz w:val="24"/>
          <w:szCs w:val="24"/>
        </w:rPr>
      </w:pPr>
      <w:r w:rsidDel="00000000" w:rsidR="00000000" w:rsidRPr="00000000">
        <w:rPr>
          <w:sz w:val="24"/>
          <w:szCs w:val="24"/>
          <w:rtl w:val="0"/>
        </w:rPr>
        <w:t xml:space="preserve">In addition to the one-time hardware purchasing expenses, the department will pay HPCC $1000/year for the departmental membership and an additional $1000/year for big data disk rental (at $1000/10TB/year rate).</w:t>
      </w:r>
    </w:p>
    <w:p w:rsidR="00000000" w:rsidDel="00000000" w:rsidP="00000000" w:rsidRDefault="00000000" w:rsidRPr="00000000" w14:paraId="0000000E">
      <w:pPr>
        <w:rPr>
          <w:sz w:val="24"/>
          <w:szCs w:val="24"/>
        </w:rPr>
      </w:pPr>
      <w:r w:rsidDel="00000000" w:rsidR="00000000" w:rsidRPr="00000000">
        <w:rPr>
          <w:sz w:val="24"/>
          <w:szCs w:val="24"/>
          <w:rtl w:val="0"/>
        </w:rPr>
        <w:t xml:space="preserve">Departmental account billing PI: Esra Kurum</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committee will conduct annual evaluations to assess the needs for additional computing nodes and/or storage space.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User account management</w:t>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Faculty members will have long-term accounts. </w:t>
      </w:r>
    </w:p>
    <w:p w:rsidR="00000000" w:rsidDel="00000000" w:rsidP="00000000" w:rsidRDefault="00000000" w:rsidRPr="00000000" w14:paraId="00000013">
      <w:pPr>
        <w:numPr>
          <w:ilvl w:val="0"/>
          <w:numId w:val="1"/>
        </w:numPr>
        <w:ind w:left="720" w:hanging="360"/>
        <w:rPr>
          <w:b w:val="1"/>
          <w:sz w:val="24"/>
          <w:szCs w:val="24"/>
        </w:rPr>
      </w:pPr>
      <w:r w:rsidDel="00000000" w:rsidR="00000000" w:rsidRPr="00000000">
        <w:rPr>
          <w:sz w:val="24"/>
          <w:szCs w:val="24"/>
          <w:rtl w:val="0"/>
        </w:rPr>
        <w:t xml:space="preserve">PhD students will have long-term accounts. PhD student accounts will be updated annually in the fall quarter (to add new students and remove graduated students).</w:t>
      </w:r>
      <w:r w:rsidDel="00000000" w:rsidR="00000000" w:rsidRPr="00000000">
        <w:rPr>
          <w:rtl w:val="0"/>
        </w:rPr>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Masters and undergraduate students taking stat computing courses will receive one-quarter temporary accounts. The instructor needs to provide a student roster by the end of 1st week of the quarter. These student accounts will be removed after the quarter ends.</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Other </w:t>
      </w:r>
      <w:r w:rsidDel="00000000" w:rsidR="00000000" w:rsidRPr="00000000">
        <w:rPr>
          <w:sz w:val="24"/>
          <w:szCs w:val="24"/>
          <w:rtl w:val="0"/>
        </w:rPr>
        <w:t xml:space="preserve">Masters or undergraduates students, or postdocs will need to have a faculty sponsor to receive a cluster account. The faculty sponsor should notice the committee </w:t>
      </w:r>
      <w:r w:rsidDel="00000000" w:rsidR="00000000" w:rsidRPr="00000000">
        <w:rPr>
          <w:sz w:val="24"/>
          <w:szCs w:val="24"/>
          <w:rtl w:val="0"/>
        </w:rPr>
        <w:t xml:space="preserve">to </w:t>
      </w:r>
      <w:r w:rsidDel="00000000" w:rsidR="00000000" w:rsidRPr="00000000">
        <w:rPr>
          <w:sz w:val="24"/>
          <w:szCs w:val="24"/>
          <w:rtl w:val="0"/>
        </w:rPr>
        <w:t xml:space="preserve">remove an account when a student/postdoc separates from the department.</w:t>
      </w:r>
    </w:p>
    <w:p w:rsidR="00000000" w:rsidDel="00000000" w:rsidP="00000000" w:rsidRDefault="00000000" w:rsidRPr="00000000" w14:paraId="00000016">
      <w:pPr>
        <w:rPr>
          <w:sz w:val="24"/>
          <w:szCs w:val="24"/>
        </w:rPr>
      </w:pPr>
      <w:r w:rsidDel="00000000" w:rsidR="00000000" w:rsidRPr="00000000">
        <w:rPr>
          <w:sz w:val="24"/>
          <w:szCs w:val="24"/>
          <w:rtl w:val="0"/>
        </w:rPr>
        <w:t xml:space="preserve">Current list of user accounts is available at</w:t>
      </w:r>
    </w:p>
    <w:p w:rsidR="00000000" w:rsidDel="00000000" w:rsidP="00000000" w:rsidRDefault="00000000" w:rsidRPr="00000000" w14:paraId="00000017">
      <w:pPr>
        <w:rPr>
          <w:sz w:val="24"/>
          <w:szCs w:val="24"/>
        </w:rPr>
      </w:pPr>
      <w:hyperlink r:id="rId7">
        <w:r w:rsidDel="00000000" w:rsidR="00000000" w:rsidRPr="00000000">
          <w:rPr>
            <w:color w:val="1155cc"/>
            <w:sz w:val="24"/>
            <w:szCs w:val="24"/>
            <w:u w:val="single"/>
            <w:rtl w:val="0"/>
          </w:rPr>
          <w:t xml:space="preserve">https://docs.google.com/spreadsheets/d/1W9XyUTCNGjW3Shjc1rYhPGIqjQEUabkargBDhGtbdQA/edit?usp=sharing</w:t>
        </w:r>
      </w:hyperlink>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Point of contact for account creation/removal: Esra Kurum</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User Quota</w:t>
      </w:r>
    </w:p>
    <w:p w:rsidR="00000000" w:rsidDel="00000000" w:rsidP="00000000" w:rsidRDefault="00000000" w:rsidRPr="00000000" w14:paraId="0000001B">
      <w:pPr>
        <w:rPr>
          <w:sz w:val="24"/>
          <w:szCs w:val="24"/>
        </w:rPr>
      </w:pPr>
      <w:r w:rsidDel="00000000" w:rsidR="00000000" w:rsidRPr="00000000">
        <w:rPr>
          <w:sz w:val="24"/>
          <w:szCs w:val="24"/>
          <w:rtl w:val="0"/>
        </w:rPr>
        <w:t xml:space="preserve">Departmental policy document from Thomas Girke: </w:t>
      </w:r>
      <w:hyperlink r:id="rId8">
        <w:r w:rsidDel="00000000" w:rsidR="00000000" w:rsidRPr="00000000">
          <w:rPr>
            <w:color w:val="1155cc"/>
            <w:sz w:val="24"/>
            <w:szCs w:val="24"/>
            <w:u w:val="single"/>
            <w:rtl w:val="0"/>
          </w:rPr>
          <w:t xml:space="preserve">https://goo.gl/N5nMV8</w:t>
        </w:r>
      </w:hyperlink>
      <w:r w:rsidDel="00000000" w:rsidR="00000000" w:rsidRPr="00000000">
        <w:rPr>
          <w:rtl w:val="0"/>
        </w:rPr>
      </w:r>
    </w:p>
    <w:p w:rsidR="00000000" w:rsidDel="00000000" w:rsidP="00000000" w:rsidRDefault="00000000" w:rsidRPr="00000000" w14:paraId="0000001C">
      <w:pPr>
        <w:rPr>
          <w:sz w:val="12"/>
          <w:szCs w:val="12"/>
        </w:rPr>
      </w:pPr>
      <w:r w:rsidDel="00000000" w:rsidR="00000000" w:rsidRPr="00000000">
        <w:rPr>
          <w:rtl w:val="0"/>
        </w:rPr>
      </w:r>
    </w:p>
    <w:tbl>
      <w:tblPr>
        <w:tblStyle w:val="Table1"/>
        <w:tblW w:w="936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3510"/>
        <w:gridCol w:w="2970"/>
        <w:tblGridChange w:id="0">
          <w:tblGrid>
            <w:gridCol w:w="2880"/>
            <w:gridCol w:w="3510"/>
            <w:gridCol w:w="2970"/>
          </w:tblGrid>
        </w:tblGridChange>
      </w:tblGrid>
      <w:tr>
        <w:tc>
          <w:tcPr>
            <w:tcBorders>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D">
            <w:pPr>
              <w:widowControl w:val="0"/>
              <w:spacing w:line="240" w:lineRule="auto"/>
              <w:rPr>
                <w:b w:val="1"/>
                <w:sz w:val="24"/>
                <w:szCs w:val="24"/>
              </w:rPr>
            </w:pPr>
            <w:r w:rsidDel="00000000" w:rsidR="00000000" w:rsidRPr="00000000">
              <w:rPr>
                <w:rtl w:val="0"/>
              </w:rPr>
            </w:r>
          </w:p>
        </w:tc>
        <w:tc>
          <w:tcPr>
            <w:tcBorders>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E">
            <w:pPr>
              <w:widowControl w:val="0"/>
              <w:spacing w:line="240" w:lineRule="auto"/>
              <w:rPr>
                <w:b w:val="1"/>
                <w:sz w:val="24"/>
                <w:szCs w:val="24"/>
              </w:rPr>
            </w:pPr>
            <w:r w:rsidDel="00000000" w:rsidR="00000000" w:rsidRPr="00000000">
              <w:rPr>
                <w:b w:val="1"/>
                <w:sz w:val="24"/>
                <w:szCs w:val="24"/>
                <w:rtl w:val="0"/>
              </w:rPr>
              <w:t xml:space="preserve">Department User Accounts</w:t>
            </w:r>
          </w:p>
        </w:tc>
        <w:tc>
          <w:tcPr>
            <w:tcBorders>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F">
            <w:pPr>
              <w:widowControl w:val="0"/>
              <w:spacing w:line="240" w:lineRule="auto"/>
              <w:rPr>
                <w:b w:val="1"/>
                <w:sz w:val="24"/>
                <w:szCs w:val="24"/>
              </w:rPr>
            </w:pPr>
            <w:r w:rsidDel="00000000" w:rsidR="00000000" w:rsidRPr="00000000">
              <w:rPr>
                <w:b w:val="1"/>
                <w:sz w:val="24"/>
                <w:szCs w:val="24"/>
                <w:rtl w:val="0"/>
              </w:rPr>
              <w:t xml:space="preserve">PI User Accounts</w:t>
            </w:r>
          </w:p>
        </w:tc>
      </w:tr>
      <w:tr>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0">
            <w:pPr>
              <w:widowControl w:val="0"/>
              <w:spacing w:line="240" w:lineRule="auto"/>
              <w:rPr>
                <w:sz w:val="24"/>
                <w:szCs w:val="24"/>
              </w:rPr>
            </w:pPr>
            <w:r w:rsidDel="00000000" w:rsidR="00000000" w:rsidRPr="00000000">
              <w:rPr>
                <w:sz w:val="24"/>
                <w:szCs w:val="24"/>
                <w:rtl w:val="0"/>
              </w:rPr>
              <w:t xml:space="preserve">Annual recharge fee</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$1000</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2">
            <w:pPr>
              <w:widowControl w:val="0"/>
              <w:spacing w:line="240" w:lineRule="auto"/>
              <w:rPr>
                <w:sz w:val="24"/>
                <w:szCs w:val="24"/>
              </w:rPr>
            </w:pPr>
            <w:r w:rsidDel="00000000" w:rsidR="00000000" w:rsidRPr="00000000">
              <w:rPr>
                <w:sz w:val="24"/>
                <w:szCs w:val="24"/>
                <w:rtl w:val="0"/>
              </w:rPr>
              <w:t xml:space="preserve">$1000</w:t>
            </w:r>
          </w:p>
        </w:tc>
      </w:tr>
      <w:tr>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sz w:val="24"/>
                <w:szCs w:val="24"/>
                <w:rtl w:val="0"/>
              </w:rPr>
              <w:t xml:space="preserve">Membership</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All departmental users </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All group members</w:t>
            </w:r>
          </w:p>
        </w:tc>
      </w:tr>
      <w:tr>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6">
            <w:pPr>
              <w:widowControl w:val="0"/>
              <w:spacing w:line="240" w:lineRule="auto"/>
              <w:rPr>
                <w:sz w:val="24"/>
                <w:szCs w:val="24"/>
              </w:rPr>
            </w:pPr>
            <w:r w:rsidDel="00000000" w:rsidR="00000000" w:rsidRPr="00000000">
              <w:rPr>
                <w:sz w:val="24"/>
                <w:szCs w:val="24"/>
                <w:rtl w:val="0"/>
              </w:rPr>
              <w:t xml:space="preserve"># of CPU cores available</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Only department owned nodes</w:t>
            </w:r>
          </w:p>
          <w:p w:rsidR="00000000" w:rsidDel="00000000" w:rsidP="00000000" w:rsidRDefault="00000000" w:rsidRPr="00000000" w14:paraId="00000028">
            <w:pPr>
              <w:widowControl w:val="0"/>
              <w:spacing w:line="240" w:lineRule="auto"/>
              <w:rPr>
                <w:sz w:val="24"/>
                <w:szCs w:val="24"/>
              </w:rPr>
            </w:pPr>
            <w:r w:rsidDel="00000000" w:rsidR="00000000" w:rsidRPr="00000000">
              <w:rPr>
                <w:sz w:val="24"/>
                <w:szCs w:val="24"/>
                <w:rtl w:val="0"/>
              </w:rPr>
              <w:t xml:space="preserve">128 CPU cores</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9">
            <w:pPr>
              <w:widowControl w:val="0"/>
              <w:spacing w:line="240" w:lineRule="auto"/>
              <w:rPr>
                <w:sz w:val="24"/>
                <w:szCs w:val="24"/>
              </w:rPr>
            </w:pPr>
            <w:r w:rsidDel="00000000" w:rsidR="00000000" w:rsidRPr="00000000">
              <w:rPr>
                <w:sz w:val="24"/>
                <w:szCs w:val="24"/>
                <w:rtl w:val="0"/>
              </w:rPr>
              <w:t xml:space="preserve">4500+ shared CPU cores</w:t>
            </w:r>
          </w:p>
        </w:tc>
      </w:tr>
      <w:tr>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A">
            <w:pPr>
              <w:widowControl w:val="0"/>
              <w:spacing w:line="240" w:lineRule="auto"/>
              <w:rPr>
                <w:sz w:val="24"/>
                <w:szCs w:val="24"/>
              </w:rPr>
            </w:pPr>
            <w:r w:rsidDel="00000000" w:rsidR="00000000" w:rsidRPr="00000000">
              <w:rPr>
                <w:sz w:val="24"/>
                <w:szCs w:val="24"/>
                <w:rtl w:val="0"/>
              </w:rPr>
              <w:t xml:space="preserve">CPU cores </w:t>
            </w:r>
            <w:r w:rsidDel="00000000" w:rsidR="00000000" w:rsidRPr="00000000">
              <w:rPr>
                <w:b w:val="1"/>
                <w:sz w:val="24"/>
                <w:szCs w:val="24"/>
                <w:rtl w:val="0"/>
              </w:rPr>
              <w:t xml:space="preserve">quota</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B">
            <w:pPr>
              <w:widowControl w:val="0"/>
              <w:spacing w:line="240" w:lineRule="auto"/>
              <w:rPr>
                <w:sz w:val="24"/>
                <w:szCs w:val="24"/>
              </w:rPr>
            </w:pPr>
            <w:r w:rsidDel="00000000" w:rsidR="00000000" w:rsidRPr="00000000">
              <w:rPr>
                <w:sz w:val="24"/>
                <w:szCs w:val="24"/>
                <w:rtl w:val="0"/>
              </w:rPr>
              <w:t xml:space="preserve">*32 per user</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C">
            <w:pPr>
              <w:widowControl w:val="0"/>
              <w:spacing w:line="240" w:lineRule="auto"/>
              <w:rPr>
                <w:sz w:val="24"/>
                <w:szCs w:val="24"/>
              </w:rPr>
            </w:pPr>
            <w:r w:rsidDel="00000000" w:rsidR="00000000" w:rsidRPr="00000000">
              <w:rPr>
                <w:sz w:val="24"/>
                <w:szCs w:val="24"/>
                <w:rtl w:val="0"/>
              </w:rPr>
              <w:t xml:space="preserve">256 pers user</w:t>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sz w:val="24"/>
                <w:szCs w:val="24"/>
                <w:rtl w:val="0"/>
              </w:rPr>
              <w:t xml:space="preserve">RAM quota in GB</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E">
            <w:pPr>
              <w:widowControl w:val="0"/>
              <w:spacing w:line="240" w:lineRule="auto"/>
              <w:rPr>
                <w:sz w:val="24"/>
                <w:szCs w:val="24"/>
              </w:rPr>
            </w:pPr>
            <w:r w:rsidDel="00000000" w:rsidR="00000000" w:rsidRPr="00000000">
              <w:rPr>
                <w:sz w:val="24"/>
                <w:szCs w:val="24"/>
                <w:rtl w:val="0"/>
              </w:rPr>
              <w:t xml:space="preserve">*128 per user</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F">
            <w:pPr>
              <w:widowControl w:val="0"/>
              <w:spacing w:line="240" w:lineRule="auto"/>
              <w:rPr>
                <w:sz w:val="24"/>
                <w:szCs w:val="24"/>
              </w:rPr>
            </w:pPr>
            <w:r w:rsidDel="00000000" w:rsidR="00000000" w:rsidRPr="00000000">
              <w:rPr>
                <w:sz w:val="24"/>
                <w:szCs w:val="24"/>
                <w:rtl w:val="0"/>
              </w:rPr>
              <w:t xml:space="preserve">1024 per user per partition</w:t>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0">
            <w:pPr>
              <w:widowControl w:val="0"/>
              <w:spacing w:line="240" w:lineRule="auto"/>
              <w:rPr>
                <w:sz w:val="24"/>
                <w:szCs w:val="24"/>
              </w:rPr>
            </w:pPr>
            <w:r w:rsidDel="00000000" w:rsidR="00000000" w:rsidRPr="00000000">
              <w:rPr>
                <w:sz w:val="24"/>
                <w:szCs w:val="24"/>
                <w:rtl w:val="0"/>
              </w:rPr>
              <w:t xml:space="preserve">Basic user disk quota</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20GB per user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2">
            <w:pPr>
              <w:widowControl w:val="0"/>
              <w:spacing w:line="240" w:lineRule="auto"/>
              <w:rPr>
                <w:sz w:val="24"/>
                <w:szCs w:val="24"/>
              </w:rPr>
            </w:pPr>
            <w:r w:rsidDel="00000000" w:rsidR="00000000" w:rsidRPr="00000000">
              <w:rPr>
                <w:sz w:val="24"/>
                <w:szCs w:val="24"/>
                <w:rtl w:val="0"/>
              </w:rPr>
              <w:t xml:space="preserve">20GB per user </w:t>
            </w:r>
          </w:p>
        </w:tc>
      </w:tr>
      <w:tr>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3">
            <w:pPr>
              <w:widowControl w:val="0"/>
              <w:spacing w:line="240" w:lineRule="auto"/>
              <w:ind w:left="-360" w:firstLine="0"/>
              <w:rPr>
                <w:sz w:val="24"/>
                <w:szCs w:val="24"/>
              </w:rPr>
            </w:pPr>
            <w:r w:rsidDel="00000000" w:rsidR="00000000" w:rsidRPr="00000000">
              <w:rPr>
                <w:sz w:val="24"/>
                <w:szCs w:val="24"/>
                <w:rtl w:val="0"/>
              </w:rPr>
              <w:t xml:space="preserve">BigBig data disk storage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 xml:space="preserve">Any amount rented/owned</w:t>
            </w:r>
          </w:p>
          <w:p w:rsidR="00000000" w:rsidDel="00000000" w:rsidP="00000000" w:rsidRDefault="00000000" w:rsidRPr="00000000" w14:paraId="00000035">
            <w:pPr>
              <w:widowControl w:val="0"/>
              <w:spacing w:line="240" w:lineRule="auto"/>
              <w:rPr>
                <w:sz w:val="24"/>
                <w:szCs w:val="24"/>
              </w:rPr>
            </w:pPr>
            <w:r w:rsidDel="00000000" w:rsidR="00000000" w:rsidRPr="00000000">
              <w:rPr>
                <w:sz w:val="24"/>
                <w:szCs w:val="24"/>
                <w:rtl w:val="0"/>
              </w:rPr>
              <w:t xml:space="preserve">10TB rented </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6">
            <w:pPr>
              <w:widowControl w:val="0"/>
              <w:spacing w:line="240" w:lineRule="auto"/>
              <w:rPr>
                <w:sz w:val="24"/>
                <w:szCs w:val="24"/>
              </w:rPr>
            </w:pPr>
            <w:r w:rsidDel="00000000" w:rsidR="00000000" w:rsidRPr="00000000">
              <w:rPr>
                <w:sz w:val="24"/>
                <w:szCs w:val="24"/>
                <w:rtl w:val="0"/>
              </w:rPr>
              <w:t xml:space="preserve">Any amount rented/owned</w:t>
            </w:r>
          </w:p>
        </w:tc>
      </w:tr>
    </w:tbl>
    <w:p w:rsidR="00000000" w:rsidDel="00000000" w:rsidP="00000000" w:rsidRDefault="00000000" w:rsidRPr="00000000" w14:paraId="00000037">
      <w:pPr>
        <w:widowControl w:val="0"/>
        <w:jc w:val="both"/>
        <w:rPr>
          <w:sz w:val="12"/>
          <w:szCs w:val="12"/>
        </w:rPr>
      </w:pPr>
      <w:r w:rsidDel="00000000" w:rsidR="00000000" w:rsidRPr="00000000">
        <w:rPr>
          <w:rtl w:val="0"/>
        </w:rPr>
      </w:r>
    </w:p>
    <w:p w:rsidR="00000000" w:rsidDel="00000000" w:rsidP="00000000" w:rsidRDefault="00000000" w:rsidRPr="00000000" w14:paraId="00000038">
      <w:pPr>
        <w:widowControl w:val="0"/>
        <w:jc w:val="both"/>
        <w:rPr>
          <w:i w:val="1"/>
          <w:sz w:val="24"/>
          <w:szCs w:val="24"/>
        </w:rPr>
      </w:pPr>
      <w:r w:rsidDel="00000000" w:rsidR="00000000" w:rsidRPr="00000000">
        <w:rPr>
          <w:i w:val="1"/>
          <w:sz w:val="24"/>
          <w:szCs w:val="24"/>
          <w:rtl w:val="0"/>
        </w:rPr>
        <w:t xml:space="preserve">* The committee monitor the cluster usage and work with HPCC to adjust departmental user quota when needed. On 1/30/2020, the CPU quota was increased from 8 to 32, and the RAM quota was increased from 16GB to 128GB.</w:t>
      </w:r>
    </w:p>
    <w:p w:rsidR="00000000" w:rsidDel="00000000" w:rsidP="00000000" w:rsidRDefault="00000000" w:rsidRPr="00000000" w14:paraId="00000039">
      <w:pPr>
        <w:widowControl w:val="0"/>
        <w:jc w:val="both"/>
        <w:rPr>
          <w:b w:val="1"/>
          <w:sz w:val="24"/>
          <w:szCs w:val="24"/>
        </w:rPr>
      </w:pPr>
      <w:r w:rsidDel="00000000" w:rsidR="00000000" w:rsidRPr="00000000">
        <w:rPr>
          <w:rtl w:val="0"/>
        </w:rPr>
      </w:r>
    </w:p>
    <w:p w:rsidR="00000000" w:rsidDel="00000000" w:rsidP="00000000" w:rsidRDefault="00000000" w:rsidRPr="00000000" w14:paraId="0000003A">
      <w:pPr>
        <w:widowControl w:val="0"/>
        <w:jc w:val="both"/>
        <w:rPr>
          <w:b w:val="1"/>
          <w:sz w:val="24"/>
          <w:szCs w:val="24"/>
        </w:rPr>
      </w:pPr>
      <w:r w:rsidDel="00000000" w:rsidR="00000000" w:rsidRPr="00000000">
        <w:rPr>
          <w:b w:val="1"/>
          <w:sz w:val="24"/>
          <w:szCs w:val="24"/>
          <w:rtl w:val="0"/>
        </w:rPr>
        <w:t xml:space="preserve">Preventing abusive usage of the departmental cluster</w:t>
      </w:r>
    </w:p>
    <w:p w:rsidR="00000000" w:rsidDel="00000000" w:rsidP="00000000" w:rsidRDefault="00000000" w:rsidRPr="00000000" w14:paraId="0000003B">
      <w:pPr>
        <w:widowControl w:val="0"/>
        <w:jc w:val="both"/>
        <w:rPr>
          <w:sz w:val="24"/>
          <w:szCs w:val="24"/>
        </w:rPr>
      </w:pPr>
      <w:r w:rsidDel="00000000" w:rsidR="00000000" w:rsidRPr="00000000">
        <w:rPr>
          <w:sz w:val="24"/>
          <w:szCs w:val="24"/>
          <w:rtl w:val="0"/>
        </w:rPr>
        <w:t xml:space="preserve">The departmental cluster is a shared resource. Users are expected to make every effort to maintain a healthy computing cluster environment. </w:t>
      </w:r>
    </w:p>
    <w:p w:rsidR="00000000" w:rsidDel="00000000" w:rsidP="00000000" w:rsidRDefault="00000000" w:rsidRPr="00000000" w14:paraId="0000003C">
      <w:pPr>
        <w:widowControl w:val="0"/>
        <w:jc w:val="both"/>
        <w:rPr>
          <w:sz w:val="24"/>
          <w:szCs w:val="24"/>
        </w:rPr>
      </w:pPr>
      <w:r w:rsidDel="00000000" w:rsidR="00000000" w:rsidRPr="00000000">
        <w:rPr>
          <w:sz w:val="24"/>
          <w:szCs w:val="24"/>
          <w:rtl w:val="0"/>
        </w:rPr>
        <w:t xml:space="preserve">The committee will collect user activity report from HPCC and monitor the usage of department-owned cluster.</w:t>
      </w:r>
    </w:p>
    <w:p w:rsidR="00000000" w:rsidDel="00000000" w:rsidP="00000000" w:rsidRDefault="00000000" w:rsidRPr="00000000" w14:paraId="0000003D">
      <w:pPr>
        <w:widowControl w:val="0"/>
        <w:jc w:val="both"/>
        <w:rPr>
          <w:sz w:val="24"/>
          <w:szCs w:val="24"/>
        </w:rPr>
      </w:pPr>
      <w:r w:rsidDel="00000000" w:rsidR="00000000" w:rsidRPr="00000000">
        <w:rPr>
          <w:sz w:val="24"/>
          <w:szCs w:val="24"/>
          <w:rtl w:val="0"/>
        </w:rPr>
        <w:t xml:space="preserve">If a user occupies more than 200GB of the departmental shared big data storage, and/or uses a substantial portion </w:t>
      </w:r>
      <w:r w:rsidDel="00000000" w:rsidR="00000000" w:rsidRPr="00000000">
        <w:rPr>
          <w:sz w:val="24"/>
          <w:szCs w:val="24"/>
          <w:rtl w:val="0"/>
        </w:rPr>
        <w:t xml:space="preserve">(10%) </w:t>
      </w:r>
      <w:r w:rsidDel="00000000" w:rsidR="00000000" w:rsidRPr="00000000">
        <w:rPr>
          <w:sz w:val="24"/>
          <w:szCs w:val="24"/>
          <w:rtl w:val="0"/>
        </w:rPr>
        <w:t xml:space="preserve">of the department shared computing nodes, the faculty sponsor of such user should get a separate PI membership (see the “PI User Accounts” column in the above table, and more information at </w:t>
      </w:r>
      <w:hyperlink r:id="rId9">
        <w:r w:rsidDel="00000000" w:rsidR="00000000" w:rsidRPr="00000000">
          <w:rPr>
            <w:color w:val="1155cc"/>
            <w:sz w:val="24"/>
            <w:szCs w:val="24"/>
            <w:u w:val="single"/>
            <w:rtl w:val="0"/>
          </w:rPr>
          <w:t xml:space="preserve">http://hpcc.ucr.edu/rates.html</w:t>
        </w:r>
      </w:hyperlink>
      <w:r w:rsidDel="00000000" w:rsidR="00000000" w:rsidRPr="00000000">
        <w:rPr>
          <w:sz w:val="24"/>
          <w:szCs w:val="24"/>
          <w:rtl w:val="0"/>
        </w:rPr>
        <w:t xml:space="preserve">). Otherwise, abusive users will be removed from the departmental membership.</w:t>
      </w:r>
    </w:p>
    <w:p w:rsidR="00000000" w:rsidDel="00000000" w:rsidP="00000000" w:rsidRDefault="00000000" w:rsidRPr="00000000" w14:paraId="0000003E">
      <w:pPr>
        <w:widowControl w:val="0"/>
        <w:jc w:val="both"/>
        <w:rPr>
          <w:i w:val="1"/>
          <w:sz w:val="24"/>
          <w:szCs w:val="24"/>
        </w:rPr>
      </w:pPr>
      <w:r w:rsidDel="00000000" w:rsidR="00000000" w:rsidRPr="00000000">
        <w:rPr>
          <w:i w:val="1"/>
          <w:sz w:val="24"/>
          <w:szCs w:val="24"/>
          <w:rtl w:val="0"/>
        </w:rPr>
        <w:t xml:space="preserve">Faculty must use their own funding for separate PI accounts.</w:t>
      </w:r>
    </w:p>
    <w:p w:rsidR="00000000" w:rsidDel="00000000" w:rsidP="00000000" w:rsidRDefault="00000000" w:rsidRPr="00000000" w14:paraId="0000003F">
      <w:pPr>
        <w:widowControl w:val="0"/>
        <w:jc w:val="both"/>
        <w:rPr>
          <w:sz w:val="24"/>
          <w:szCs w:val="24"/>
        </w:rPr>
      </w:pPr>
      <w:r w:rsidDel="00000000" w:rsidR="00000000" w:rsidRPr="00000000">
        <w:rPr>
          <w:rtl w:val="0"/>
        </w:rPr>
      </w:r>
    </w:p>
    <w:p w:rsidR="00000000" w:rsidDel="00000000" w:rsidP="00000000" w:rsidRDefault="00000000" w:rsidRPr="00000000" w14:paraId="00000040">
      <w:pPr>
        <w:widowControl w:val="0"/>
        <w:jc w:val="both"/>
        <w:rPr>
          <w:b w:val="1"/>
          <w:sz w:val="24"/>
          <w:szCs w:val="24"/>
        </w:rPr>
      </w:pPr>
      <w:r w:rsidDel="00000000" w:rsidR="00000000" w:rsidRPr="00000000">
        <w:rPr>
          <w:b w:val="1"/>
          <w:sz w:val="24"/>
          <w:szCs w:val="24"/>
          <w:rtl w:val="0"/>
        </w:rPr>
        <w:t xml:space="preserve">Schedule for HPCC training/workshop</w:t>
      </w:r>
    </w:p>
    <w:p w:rsidR="00000000" w:rsidDel="00000000" w:rsidP="00000000" w:rsidRDefault="00000000" w:rsidRPr="00000000" w14:paraId="00000041">
      <w:pPr>
        <w:widowControl w:val="0"/>
        <w:jc w:val="both"/>
        <w:rPr>
          <w:sz w:val="24"/>
          <w:szCs w:val="24"/>
        </w:rPr>
      </w:pPr>
      <w:r w:rsidDel="00000000" w:rsidR="00000000" w:rsidRPr="00000000">
        <w:rPr>
          <w:sz w:val="24"/>
          <w:szCs w:val="24"/>
          <w:rtl w:val="0"/>
        </w:rPr>
        <w:t xml:space="preserve">The committee will work with HPCC to schedule regular HPCC Cluster introduction workshops. The first workshop is scheduled on Friday June 15, 2018. The committee is also planning on arranging new student training sessions every year in the Fall quarter.</w:t>
      </w:r>
    </w:p>
    <w:p w:rsidR="00000000" w:rsidDel="00000000" w:rsidP="00000000" w:rsidRDefault="00000000" w:rsidRPr="00000000" w14:paraId="00000042">
      <w:pPr>
        <w:widowControl w:val="0"/>
        <w:jc w:val="both"/>
        <w:rPr>
          <w:sz w:val="24"/>
          <w:szCs w:val="24"/>
        </w:rPr>
      </w:pPr>
      <w:r w:rsidDel="00000000" w:rsidR="00000000" w:rsidRPr="00000000">
        <w:rPr>
          <w:sz w:val="24"/>
          <w:szCs w:val="24"/>
          <w:rtl w:val="0"/>
        </w:rPr>
        <w:t xml:space="preserve">The HPCC Cluster intro workshop is </w:t>
      </w:r>
      <w:r w:rsidDel="00000000" w:rsidR="00000000" w:rsidRPr="00000000">
        <w:rPr>
          <w:i w:val="1"/>
          <w:sz w:val="24"/>
          <w:szCs w:val="24"/>
          <w:rtl w:val="0"/>
        </w:rPr>
        <w:t xml:space="preserve">mandatory</w:t>
      </w:r>
      <w:r w:rsidDel="00000000" w:rsidR="00000000" w:rsidRPr="00000000">
        <w:rPr>
          <w:sz w:val="24"/>
          <w:szCs w:val="24"/>
          <w:rtl w:val="0"/>
        </w:rPr>
        <w:t xml:space="preserve"> for all new users with a statistics department HPCC account. Users need to attend at least one introductory level HPCC workshops to keep their accounts active.</w:t>
      </w:r>
    </w:p>
    <w:p w:rsidR="00000000" w:rsidDel="00000000" w:rsidP="00000000" w:rsidRDefault="00000000" w:rsidRPr="00000000" w14:paraId="00000043">
      <w:pPr>
        <w:widowControl w:val="0"/>
        <w:jc w:val="both"/>
        <w:rPr>
          <w:sz w:val="24"/>
          <w:szCs w:val="24"/>
        </w:rPr>
      </w:pPr>
      <w:r w:rsidDel="00000000" w:rsidR="00000000" w:rsidRPr="00000000">
        <w:rPr>
          <w:sz w:val="24"/>
          <w:szCs w:val="24"/>
          <w:rtl w:val="0"/>
        </w:rPr>
        <w:t xml:space="preserve">Past workshop video and slides are available at the HPCC website. </w:t>
      </w:r>
      <w:hyperlink r:id="rId10">
        <w:r w:rsidDel="00000000" w:rsidR="00000000" w:rsidRPr="00000000">
          <w:rPr>
            <w:color w:val="1155cc"/>
            <w:sz w:val="24"/>
            <w:szCs w:val="24"/>
            <w:u w:val="single"/>
            <w:rtl w:val="0"/>
          </w:rPr>
          <w:t xml:space="preserve">http://hpcc.ucr.edu/events_small.html</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hpcc.ucr.edu/events_small.html" TargetMode="External"/><Relationship Id="rId9" Type="http://schemas.openxmlformats.org/officeDocument/2006/relationships/hyperlink" Target="http://hpcc.ucr.edu/rates.html" TargetMode="External"/><Relationship Id="rId5" Type="http://schemas.openxmlformats.org/officeDocument/2006/relationships/styles" Target="styles.xml"/><Relationship Id="rId6" Type="http://schemas.openxmlformats.org/officeDocument/2006/relationships/hyperlink" Target="http://hpcc.ucr.edu/" TargetMode="External"/><Relationship Id="rId7" Type="http://schemas.openxmlformats.org/officeDocument/2006/relationships/hyperlink" Target="https://docs.google.com/spreadsheets/d/1W9XyUTCNGjW3Shjc1rYhPGIqjQEUabkargBDhGtbdQA/edit?usp=sharing" TargetMode="External"/><Relationship Id="rId8" Type="http://schemas.openxmlformats.org/officeDocument/2006/relationships/hyperlink" Target="https://goo.gl/N5nM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